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medio1-nfasis3"/>
        <w:tblW w:w="5000" w:type="pct"/>
        <w:tblCellSpacing w:w="20" w:type="dxa"/>
        <w:tblBorders>
          <w:top w:val="outset" w:sz="4" w:space="0" w:color="F2F2F2" w:themeColor="background1" w:themeShade="F2"/>
          <w:left w:val="outset" w:sz="4" w:space="0" w:color="F2F2F2" w:themeColor="background1" w:themeShade="F2"/>
          <w:bottom w:val="outset" w:sz="4" w:space="0" w:color="F2F2F2" w:themeColor="background1" w:themeShade="F2"/>
          <w:right w:val="outset" w:sz="4" w:space="0" w:color="F2F2F2" w:themeColor="background1" w:themeShade="F2"/>
          <w:insideH w:val="outset" w:sz="4" w:space="0" w:color="F2F2F2" w:themeColor="background1" w:themeShade="F2"/>
          <w:insideV w:val="outset" w:sz="4" w:space="0" w:color="F2F2F2" w:themeColor="background1" w:themeShade="F2"/>
        </w:tblBorders>
        <w:tblLook w:val="04A0"/>
      </w:tblPr>
      <w:tblGrid>
        <w:gridCol w:w="2178"/>
        <w:gridCol w:w="3311"/>
        <w:gridCol w:w="3331"/>
      </w:tblGrid>
      <w:tr w:rsidR="00791363" w:rsidRPr="00791363" w:rsidTr="0014422E">
        <w:trPr>
          <w:cnfStyle w:val="100000000000"/>
          <w:tblCellSpacing w:w="20" w:type="dxa"/>
        </w:trPr>
        <w:tc>
          <w:tcPr>
            <w:cnfStyle w:val="001000000000"/>
            <w:tcW w:w="11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</w:pPr>
            <w:r w:rsidRPr="0014422E"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  <w:t>Tipos de empresas</w:t>
            </w:r>
          </w:p>
        </w:tc>
        <w:tc>
          <w:tcPr>
            <w:tcW w:w="19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cnfStyle w:val="100000000000"/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</w:pPr>
            <w:r w:rsidRPr="00791363"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  <w:t>Ventajas</w:t>
            </w:r>
          </w:p>
        </w:tc>
        <w:tc>
          <w:tcPr>
            <w:tcW w:w="19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cnfStyle w:val="100000000000"/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</w:pPr>
            <w:r w:rsidRPr="00791363">
              <w:rPr>
                <w:rFonts w:ascii="Book Antiqua" w:eastAsia="Times New Roman" w:hAnsi="Book Antiqua" w:cs="Lucida Sans Unicode"/>
                <w:color w:val="0D0D0D" w:themeColor="text1" w:themeTint="F2"/>
                <w:sz w:val="44"/>
                <w:szCs w:val="44"/>
                <w:lang w:eastAsia="es-ES"/>
              </w:rPr>
              <w:t>Desventajas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100000"/>
              <w:rPr>
                <w:rFonts w:ascii="Lucida Sans Unicode" w:eastAsia="Times New Roman" w:hAnsi="Lucida Sans Unicode" w:cs="Lucida Sans Unicode"/>
                <w:b/>
                <w:color w:val="858586"/>
                <w:sz w:val="18"/>
                <w:szCs w:val="18"/>
                <w:lang w:eastAsia="es-ES"/>
              </w:rPr>
            </w:pP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Civil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En general, la constitución requiere muy pocos trámites. Su complejidad y costes son mínimos.</w:t>
            </w:r>
          </w:p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Debido a que los rendimientos se imputan a los asociados sobre la base de lo pactado, desde el punto de vista fiscal es aplicable lo descrito para el empresario individual.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Los socios responden mancomunada y subsidiariamente frente a terceros.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Limitada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Responsabilidad limitada al capital aportado.</w:t>
            </w:r>
          </w:p>
          <w:p w:rsidR="00791363" w:rsidRPr="00791363" w:rsidRDefault="00791363" w:rsidP="00791363">
            <w:pPr>
              <w:spacing w:before="150" w:after="225"/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Mismo carácter democrático en los órganos de Gobierno que en las S.A.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Exigencia de capital mínimo de 3.000,00 euros que estará íntegramente suscrito y desembolsado en el momento de la constitución.</w:t>
            </w:r>
          </w:p>
          <w:p w:rsidR="00791363" w:rsidRPr="00791363" w:rsidRDefault="00791363" w:rsidP="00791363">
            <w:pPr>
              <w:jc w:val="both"/>
              <w:cnfStyle w:val="00000001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En determinados niveles de beneficio el tipo fijo de gravamen del 25-30% en el Impuesto sobre Sociedades para empresas de reducida dimensión, puede ser una desventaja frente al tipo variable en IRPF.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Limitada Nueva Empresa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Utilización de formas electrónicas, telemáticas e informáticas que agilizan notablemente los tiempos de constitución e inscripción.</w:t>
            </w:r>
          </w:p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Responsabilidad limitada al capital aportado.</w:t>
            </w:r>
          </w:p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No existe un número mínimo de socios, (sociedad unipersonal).</w:t>
            </w:r>
          </w:p>
          <w:p w:rsidR="00791363" w:rsidRP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La contabilidad, podrá llevarse a cabo a través de un único registro.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Exigencia de capital mínimo de 3.012 euros y máximo de 120.202 euros.</w:t>
            </w:r>
          </w:p>
          <w:p w:rsidR="00791363" w:rsidRDefault="00791363" w:rsidP="00791363">
            <w:pPr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En determinados niveles de beneficio el tipo fijo de gravamen del 25-30% en el Impuesto sobre Sociedades para empresas de reducida dimensión, puede ser una desventaja frente al tipo variable en IRPF.</w:t>
            </w:r>
          </w:p>
          <w:p w:rsidR="00791363" w:rsidRPr="00791363" w:rsidRDefault="00791363" w:rsidP="00791363">
            <w:pPr>
              <w:spacing w:before="150" w:after="225"/>
              <w:jc w:val="both"/>
              <w:cnfStyle w:val="000000100000"/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eastAsia="Times New Roman" w:cs="Lucida Sans Unicode"/>
                <w:b/>
                <w:color w:val="4616F6"/>
                <w:sz w:val="20"/>
                <w:szCs w:val="20"/>
                <w:lang w:eastAsia="es-ES"/>
              </w:rPr>
              <w:t>El número de socios fundadores no podrá ser mayor a cinco.</w:t>
            </w: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Anónima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Responsabilidad lim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itada a las aportaciones de los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socios.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La regulación interna de la empresa en cuanto a órganos de gobierno se realiza de forma democrática.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Exigencia de capital mínimo  de 60.000,00 euros., íntegramente suscrito y desembolsado al menos en un 25%</w:t>
            </w:r>
          </w:p>
          <w:p w:rsidR="00791363" w:rsidRPr="00791363" w:rsidRDefault="00791363" w:rsidP="00791363">
            <w:pPr>
              <w:jc w:val="both"/>
              <w:cnfStyle w:val="00000001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En determinados niveles de beneficio el tipo fijo de gravamen del 25-30% en el Impuesto sobre Sociedades para empresas de reducida dimensión, puede ser una desventaja frente al tipo variable en IRPF.</w:t>
            </w:r>
          </w:p>
        </w:tc>
      </w:tr>
      <w:tr w:rsidR="00791363" w:rsidRPr="00791363" w:rsidTr="0014422E">
        <w:trPr>
          <w:cnfStyle w:val="00000010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Sociedad Laboral</w:t>
            </w:r>
          </w:p>
          <w:p w:rsidR="00791363" w:rsidRPr="00791363" w:rsidRDefault="00791363" w:rsidP="00791363">
            <w:pPr>
              <w:spacing w:before="150" w:after="225"/>
              <w:jc w:val="center"/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</w:pPr>
            <w:r w:rsidRPr="00791363">
              <w:rPr>
                <w:rFonts w:ascii="Century" w:eastAsia="Times New Roman" w:hAnsi="Century" w:cs="Lucida Sans Unicode"/>
                <w:color w:val="0D0D0D" w:themeColor="text1" w:themeTint="F2"/>
                <w:sz w:val="20"/>
                <w:szCs w:val="20"/>
                <w:lang w:eastAsia="es-ES"/>
              </w:rPr>
              <w:t>(Limitada o Anónima)</w:t>
            </w: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Las sociedades laborales que destinen al Fondo especial de reserva el 25% de los beneficios líquidos, gozan de los siguientes beneficios en el ITP: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Exención por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lastRenderedPageBreak/>
              <w:t>constitución, aumento capital y transformación en SLL o SAL.</w:t>
            </w:r>
            <w:r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 xml:space="preserve"> </w:t>
            </w: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Bonificación del 99% por transmisiones patrimoniales, por la escritura de transformación, por las escrituras de constitución de préstamos para inversión en activos.</w:t>
            </w: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lastRenderedPageBreak/>
              <w:t>Exigencia de capital mínimo</w:t>
            </w:r>
          </w:p>
          <w:p w:rsidR="00791363" w:rsidRPr="00791363" w:rsidRDefault="00791363" w:rsidP="00791363">
            <w:pPr>
              <w:jc w:val="both"/>
              <w:cnfStyle w:val="000000100000"/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</w:pPr>
            <w:r w:rsidRPr="00791363">
              <w:rPr>
                <w:rFonts w:ascii="Calibri" w:eastAsia="Times New Roman" w:hAnsi="Calibri" w:cs="Lucida Sans Unicode"/>
                <w:b/>
                <w:color w:val="4616F6"/>
                <w:sz w:val="20"/>
                <w:szCs w:val="20"/>
                <w:lang w:eastAsia="es-ES"/>
              </w:rPr>
              <w:t>Órganos sociales más complejos, en el supuesto de dos clases de acciones.</w:t>
            </w:r>
          </w:p>
        </w:tc>
      </w:tr>
      <w:tr w:rsidR="00791363" w:rsidRPr="00791363" w:rsidTr="0014422E">
        <w:trPr>
          <w:cnfStyle w:val="000000010000"/>
          <w:tblCellSpacing w:w="20" w:type="dxa"/>
        </w:trPr>
        <w:tc>
          <w:tcPr>
            <w:cnfStyle w:val="001000000000"/>
            <w:tcW w:w="1134" w:type="pct"/>
            <w:tcBorders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jc w:val="center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  <w:righ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010000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  <w:tc>
          <w:tcPr>
            <w:tcW w:w="1933" w:type="pct"/>
            <w:tcBorders>
              <w:left w:val="none" w:sz="0" w:space="0" w:color="auto"/>
            </w:tcBorders>
            <w:hideMark/>
          </w:tcPr>
          <w:p w:rsidR="00791363" w:rsidRPr="00791363" w:rsidRDefault="00791363" w:rsidP="00791363">
            <w:pPr>
              <w:spacing w:before="150" w:after="225"/>
              <w:jc w:val="both"/>
              <w:cnfStyle w:val="000000010000"/>
              <w:rPr>
                <w:rFonts w:ascii="Lucida Sans Unicode" w:eastAsia="Times New Roman" w:hAnsi="Lucida Sans Unicode" w:cs="Lucida Sans Unicode"/>
                <w:color w:val="858586"/>
                <w:sz w:val="18"/>
                <w:szCs w:val="18"/>
                <w:lang w:eastAsia="es-ES"/>
              </w:rPr>
            </w:pPr>
          </w:p>
        </w:tc>
      </w:tr>
    </w:tbl>
    <w:p w:rsidR="0095599C" w:rsidRPr="00791363" w:rsidRDefault="0095599C" w:rsidP="00791363"/>
    <w:sectPr w:rsidR="0095599C" w:rsidRPr="00791363" w:rsidSect="009559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363"/>
    <w:rsid w:val="0014422E"/>
    <w:rsid w:val="00791363"/>
    <w:rsid w:val="0095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9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91363"/>
    <w:rPr>
      <w:b/>
      <w:bCs/>
    </w:rPr>
  </w:style>
  <w:style w:type="paragraph" w:styleId="NormalWeb">
    <w:name w:val="Normal (Web)"/>
    <w:basedOn w:val="Normal"/>
    <w:uiPriority w:val="99"/>
    <w:unhideWhenUsed/>
    <w:rsid w:val="0079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Sombreadoclaro-nfasis3">
    <w:name w:val="Light Shading Accent 3"/>
    <w:basedOn w:val="Tablanormal"/>
    <w:uiPriority w:val="60"/>
    <w:rsid w:val="0014422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medio1-nfasis3">
    <w:name w:val="Medium Shading 1 Accent 3"/>
    <w:basedOn w:val="Tablanormal"/>
    <w:uiPriority w:val="63"/>
    <w:rsid w:val="001442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Aula_15</dc:creator>
  <cp:keywords/>
  <dc:description/>
  <cp:lastModifiedBy>Aula_15</cp:lastModifiedBy>
  <cp:revision>1</cp:revision>
  <dcterms:created xsi:type="dcterms:W3CDTF">2012-11-09T12:29:00Z</dcterms:created>
  <dcterms:modified xsi:type="dcterms:W3CDTF">2012-11-09T12:42:00Z</dcterms:modified>
</cp:coreProperties>
</file>